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61AEE" w14:textId="0CE211C0" w:rsidR="00795ABD" w:rsidRPr="00063A60" w:rsidRDefault="000B2937" w:rsidP="00114615">
      <w:pPr>
        <w:rPr>
          <w:rFonts w:cs="Arial"/>
          <w:sz w:val="16"/>
          <w:szCs w:val="16"/>
        </w:rPr>
      </w:pPr>
      <w:r>
        <w:rPr>
          <w:noProof/>
        </w:rPr>
        <mc:AlternateContent>
          <mc:Choice Requires="wps">
            <w:drawing>
              <wp:anchor distT="4294967292" distB="4294967292" distL="114300" distR="114300" simplePos="0" relativeHeight="251657728" behindDoc="0" locked="0" layoutInCell="1" allowOverlap="1" wp14:anchorId="5DCCE63B" wp14:editId="07FB8648">
                <wp:simplePos x="0" y="0"/>
                <wp:positionH relativeFrom="column">
                  <wp:posOffset>-19685</wp:posOffset>
                </wp:positionH>
                <wp:positionV relativeFrom="paragraph">
                  <wp:posOffset>218439</wp:posOffset>
                </wp:positionV>
                <wp:extent cx="1750695" cy="0"/>
                <wp:effectExtent l="0" t="0" r="0" b="0"/>
                <wp:wrapNone/>
                <wp:docPr id="7"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75069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32293B0" id="Conector recto 3"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5pt,17.2pt" to="1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" strokecolor="windowText" strokeweight="1pt">
                <v:stroke joinstyle="miter"/>
              </v:line>
            </w:pict>
          </mc:Fallback>
        </mc:AlternateContent>
      </w:r>
      <w:r w:rsidR="00693330" w:rsidRPr="00063A60">
        <w:rPr>
          <w:rFonts w:cs="Arial"/>
          <w:sz w:val="16"/>
          <w:szCs w:val="16"/>
        </w:rPr>
        <w:t xml:space="preserve">ANDALUCÍA, </w:t>
      </w:r>
      <w:r w:rsidR="00FE08F5">
        <w:rPr>
          <w:rFonts w:cs="Arial"/>
          <w:sz w:val="16"/>
          <w:szCs w:val="16"/>
        </w:rPr>
        <w:t>2</w:t>
      </w:r>
      <w:r w:rsidR="00FE08F5" w:rsidRPr="00063A60">
        <w:rPr>
          <w:rFonts w:cs="Arial"/>
          <w:sz w:val="16"/>
          <w:szCs w:val="16"/>
        </w:rPr>
        <w:t xml:space="preserve"> </w:t>
      </w:r>
      <w:r w:rsidR="00693330" w:rsidRPr="00063A60">
        <w:rPr>
          <w:rFonts w:cs="Arial"/>
          <w:sz w:val="16"/>
          <w:szCs w:val="16"/>
        </w:rPr>
        <w:t xml:space="preserve">DE </w:t>
      </w:r>
      <w:r w:rsidR="00125A90">
        <w:rPr>
          <w:rFonts w:cs="Arial"/>
          <w:sz w:val="16"/>
          <w:szCs w:val="16"/>
        </w:rPr>
        <w:t>MARZ</w:t>
      </w:r>
      <w:r w:rsidR="00FE08F5">
        <w:rPr>
          <w:rFonts w:cs="Arial"/>
          <w:sz w:val="16"/>
          <w:szCs w:val="16"/>
        </w:rPr>
        <w:t>O</w:t>
      </w:r>
      <w:r w:rsidR="00FE08F5" w:rsidRPr="00063A60">
        <w:rPr>
          <w:rFonts w:cs="Arial"/>
          <w:sz w:val="16"/>
          <w:szCs w:val="16"/>
        </w:rPr>
        <w:t xml:space="preserve"> </w:t>
      </w:r>
      <w:r w:rsidR="00693330" w:rsidRPr="00063A60">
        <w:rPr>
          <w:rFonts w:cs="Arial"/>
          <w:sz w:val="16"/>
          <w:szCs w:val="16"/>
        </w:rPr>
        <w:t>202</w:t>
      </w:r>
      <w:r w:rsidR="00D61B31">
        <w:rPr>
          <w:rFonts w:cs="Arial"/>
          <w:sz w:val="16"/>
          <w:szCs w:val="16"/>
        </w:rPr>
        <w:t>2</w:t>
      </w:r>
    </w:p>
    <w:p w14:paraId="1154049D" w14:textId="1D4706C3" w:rsidR="00114615" w:rsidRPr="00114615" w:rsidRDefault="00114615" w:rsidP="000E4A8F">
      <w:pPr>
        <w:tabs>
          <w:tab w:val="left" w:pos="2650"/>
        </w:tabs>
        <w:rPr>
          <w:rFonts w:ascii="Verdana" w:hAnsi="Verdana"/>
          <w:sz w:val="16"/>
          <w:szCs w:val="16"/>
        </w:rPr>
      </w:pPr>
    </w:p>
    <w:p w14:paraId="5F41C0F1" w14:textId="5C7E375A" w:rsidR="00795ABD" w:rsidRPr="0079043C" w:rsidRDefault="00125A90" w:rsidP="00125A90">
      <w:pPr>
        <w:pStyle w:val="Ttulodelanotadeprensa"/>
        <w:ind w:right="-291"/>
      </w:pPr>
      <w:r>
        <w:t>José Manuel Puerta, nuevo director científico del  Biobanco de la sanidad pública de Andalucía</w:t>
      </w:r>
    </w:p>
    <w:p w14:paraId="281A0E1E" w14:textId="4C15200C" w:rsidR="00A92D26" w:rsidRPr="002407DD" w:rsidRDefault="00125A90" w:rsidP="002407DD">
      <w:pPr>
        <w:pStyle w:val="Cuerpodetextonotadeprensa"/>
        <w:ind w:right="-7"/>
        <w:rPr>
          <w:color w:val="42903F"/>
          <w:sz w:val="28"/>
          <w:szCs w:val="28"/>
        </w:rPr>
      </w:pPr>
      <w:r>
        <w:rPr>
          <w:color w:val="42903F"/>
          <w:sz w:val="28"/>
          <w:szCs w:val="28"/>
        </w:rPr>
        <w:t>Con reconocida trayectoria investigadora y asistencial, es facultativo especialista de área y jefe de sección del Hospital de Día de Hematología y Hemoterapia del Virgen de las Nieves de Granada</w:t>
      </w:r>
    </w:p>
    <w:p w14:paraId="0A9C514B" w14:textId="77777777" w:rsidR="00A92D26" w:rsidRDefault="00A92D26" w:rsidP="00A92D26">
      <w:pPr>
        <w:jc w:val="both"/>
        <w:rPr>
          <w:sz w:val="18"/>
          <w:szCs w:val="18"/>
        </w:rPr>
      </w:pPr>
    </w:p>
    <w:p w14:paraId="29E76D29" w14:textId="34F77A0B" w:rsidR="00A92D26" w:rsidRDefault="00125A90" w:rsidP="00125A90">
      <w:pPr>
        <w:spacing w:line="360" w:lineRule="auto"/>
        <w:jc w:val="both"/>
        <w:rPr>
          <w:sz w:val="22"/>
          <w:szCs w:val="22"/>
        </w:rPr>
      </w:pPr>
      <w:r w:rsidRPr="00125A90">
        <w:rPr>
          <w:sz w:val="22"/>
          <w:szCs w:val="22"/>
        </w:rPr>
        <w:t xml:space="preserve">El jefe de sección facultativo del Hospital de Día de Hematología y Hemoterapia del Hospital Universitario Virgen de las Nieves, José Manuel Puerta, acaba de ser nombrado </w:t>
      </w:r>
      <w:r w:rsidR="009A6137">
        <w:rPr>
          <w:sz w:val="22"/>
          <w:szCs w:val="22"/>
        </w:rPr>
        <w:t xml:space="preserve">por la Consejería de Salud y Familias </w:t>
      </w:r>
      <w:r w:rsidRPr="00125A90">
        <w:rPr>
          <w:sz w:val="22"/>
          <w:szCs w:val="22"/>
        </w:rPr>
        <w:t>director científico del Biobanco del Sistema Sanitario Público de Andalucía, sustituyendo al catedrático de Medicina Antonio Campos, quien ha estado varios años al frente del proyecto</w:t>
      </w:r>
      <w:r w:rsidR="007E1B4D">
        <w:rPr>
          <w:sz w:val="22"/>
          <w:szCs w:val="22"/>
        </w:rPr>
        <w:t>.</w:t>
      </w:r>
    </w:p>
    <w:p w14:paraId="19DA95FC" w14:textId="71B8A13C" w:rsidR="007E1B4D" w:rsidRDefault="007E1B4D" w:rsidP="00125A90">
      <w:pPr>
        <w:spacing w:line="360" w:lineRule="auto"/>
        <w:jc w:val="both"/>
        <w:rPr>
          <w:sz w:val="22"/>
          <w:szCs w:val="22"/>
        </w:rPr>
      </w:pPr>
    </w:p>
    <w:p w14:paraId="5F2E4E02" w14:textId="77777777" w:rsidR="00125A90" w:rsidRPr="00125A90" w:rsidRDefault="00125A90" w:rsidP="00125A90">
      <w:pPr>
        <w:spacing w:line="360" w:lineRule="auto"/>
        <w:jc w:val="both"/>
        <w:rPr>
          <w:sz w:val="22"/>
          <w:szCs w:val="22"/>
        </w:rPr>
      </w:pPr>
      <w:r w:rsidRPr="00125A90">
        <w:rPr>
          <w:sz w:val="22"/>
          <w:szCs w:val="22"/>
        </w:rPr>
        <w:t>Puerta se incorpora al Biobanco con la intención de consolidarlo como referente para la comunidad investigadora en la captación, selección, preservación y donación de muestras para la investigación en salud. El nuevo director científico tiene como objetivo, además, aumentar el conocimiento del Biobanco entre los profesionales sanitarios con labor asistencial, no solamente entre los investigadores, para que así puedan contribuir a la donación, toma de muestras y participación directa en los proyectos de investigación propios del Biobanco.</w:t>
      </w:r>
    </w:p>
    <w:p w14:paraId="0E73808A" w14:textId="77777777" w:rsidR="00125A90" w:rsidRPr="00125A90" w:rsidRDefault="00125A90" w:rsidP="00125A90">
      <w:pPr>
        <w:spacing w:line="360" w:lineRule="auto"/>
        <w:jc w:val="both"/>
        <w:rPr>
          <w:sz w:val="22"/>
          <w:szCs w:val="22"/>
        </w:rPr>
      </w:pPr>
      <w:r w:rsidRPr="00125A90">
        <w:rPr>
          <w:sz w:val="22"/>
          <w:szCs w:val="22"/>
        </w:rPr>
        <w:t xml:space="preserve"> </w:t>
      </w:r>
    </w:p>
    <w:p w14:paraId="0016F17F" w14:textId="77777777" w:rsidR="00125A90" w:rsidRPr="00125A90" w:rsidRDefault="00125A90" w:rsidP="00125A90">
      <w:pPr>
        <w:spacing w:line="360" w:lineRule="auto"/>
        <w:jc w:val="both"/>
        <w:rPr>
          <w:sz w:val="22"/>
          <w:szCs w:val="22"/>
        </w:rPr>
      </w:pPr>
      <w:r w:rsidRPr="00125A90">
        <w:rPr>
          <w:sz w:val="22"/>
          <w:szCs w:val="22"/>
        </w:rPr>
        <w:t>Asimismo, otro de los propósitos del nuevo director científico es fomentar el conocimiento del Registro Andaluz de Donantes de Muestras para la Investigación Biomédica (REDMI) entre la ciudadanía, al objeto de que se anime a donar muestras que permitan seguir profundizando en la investigación de diferentes patologías.</w:t>
      </w:r>
    </w:p>
    <w:p w14:paraId="0B3B53EE" w14:textId="77777777" w:rsidR="00125A90" w:rsidRPr="00125A90" w:rsidRDefault="00125A90" w:rsidP="00125A90">
      <w:pPr>
        <w:spacing w:line="360" w:lineRule="auto"/>
        <w:jc w:val="both"/>
        <w:rPr>
          <w:sz w:val="22"/>
          <w:szCs w:val="22"/>
        </w:rPr>
      </w:pPr>
      <w:r w:rsidRPr="00125A90">
        <w:rPr>
          <w:sz w:val="22"/>
          <w:szCs w:val="22"/>
        </w:rPr>
        <w:t xml:space="preserve"> </w:t>
      </w:r>
    </w:p>
    <w:p w14:paraId="7E0F8D2D" w14:textId="77777777" w:rsidR="00125A90" w:rsidRPr="00125A90" w:rsidRDefault="00125A90" w:rsidP="00125A90">
      <w:pPr>
        <w:spacing w:line="360" w:lineRule="auto"/>
        <w:jc w:val="both"/>
        <w:rPr>
          <w:sz w:val="22"/>
          <w:szCs w:val="22"/>
        </w:rPr>
      </w:pPr>
      <w:r w:rsidRPr="00125A90">
        <w:rPr>
          <w:sz w:val="22"/>
          <w:szCs w:val="22"/>
        </w:rPr>
        <w:t xml:space="preserve">Así, en el Registro Andaluz de Donantes de Muestras para la Investigación Biomédica hay más de dos millares de inscritos cuyas muestras han dado soporte a 13 proyectos de investigación. Y es que las donaciones de muestras biológicas, en general, son imprescindibles para facilitar la viabilidad de proyectos de investigación biomédica que ayuden a avanzar en el conocimiento científico, diagnóstico de enfermedades, eficacia </w:t>
      </w:r>
      <w:r w:rsidRPr="00125A90">
        <w:rPr>
          <w:sz w:val="22"/>
          <w:szCs w:val="22"/>
        </w:rPr>
        <w:lastRenderedPageBreak/>
        <w:t>terapéutica y acceso a fármacos, de ahí la importancia de que la sociedad en general lo conozca y se anime a la donación de muestras.</w:t>
      </w:r>
    </w:p>
    <w:p w14:paraId="35A7FC4A" w14:textId="77777777" w:rsidR="00125A90" w:rsidRPr="00125A90" w:rsidRDefault="00125A90" w:rsidP="00125A90">
      <w:pPr>
        <w:spacing w:line="360" w:lineRule="auto"/>
        <w:jc w:val="both"/>
        <w:rPr>
          <w:sz w:val="22"/>
          <w:szCs w:val="22"/>
        </w:rPr>
      </w:pPr>
      <w:r w:rsidRPr="00125A90">
        <w:rPr>
          <w:sz w:val="22"/>
          <w:szCs w:val="22"/>
        </w:rPr>
        <w:t xml:space="preserve"> </w:t>
      </w:r>
    </w:p>
    <w:p w14:paraId="1088B2B9" w14:textId="08867DC6" w:rsidR="002167D9" w:rsidRPr="006906D3" w:rsidRDefault="00125A90" w:rsidP="00125A90">
      <w:pPr>
        <w:spacing w:line="360" w:lineRule="auto"/>
        <w:jc w:val="both"/>
        <w:rPr>
          <w:sz w:val="22"/>
          <w:szCs w:val="22"/>
        </w:rPr>
      </w:pPr>
      <w:r w:rsidRPr="00125A90">
        <w:rPr>
          <w:sz w:val="22"/>
          <w:szCs w:val="22"/>
        </w:rPr>
        <w:t>José Manuel Puerta es licenciado en Medicina y Cirugía y doctor por la Universidad de Granada. Cuenta con formación de postgrado en gestión sanitaria y pertenece a diversas sociedades científicas, teniendo, entre sus líneas de investigación, el estudio de neoplasias mieloproliferativas y linfoproliferativas crónicas, linfomas de alto grado y la calidad de vida del paciente hematológico.</w:t>
      </w:r>
    </w:p>
    <w:sectPr w:rsidR="002167D9" w:rsidRPr="006906D3" w:rsidSect="00114C78">
      <w:headerReference w:type="default" r:id="rId11"/>
      <w:footerReference w:type="default" r:id="rId12"/>
      <w:pgSz w:w="11900" w:h="16840"/>
      <w:pgMar w:top="1417" w:right="1701" w:bottom="1417" w:left="1701" w:header="850"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DAFB2" w14:textId="77777777" w:rsidR="006F46E2" w:rsidRDefault="006F46E2" w:rsidP="00693330">
      <w:r>
        <w:separator/>
      </w:r>
    </w:p>
  </w:endnote>
  <w:endnote w:type="continuationSeparator" w:id="0">
    <w:p w14:paraId="40E4C34C" w14:textId="77777777" w:rsidR="006F46E2" w:rsidRDefault="006F46E2" w:rsidP="00693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C207" w14:textId="3E372A94" w:rsidR="00BB2D95" w:rsidRDefault="000B2937" w:rsidP="00114615">
    <w:pPr>
      <w:pStyle w:val="Piedepgina"/>
    </w:pPr>
    <w:r>
      <w:rPr>
        <w:noProof/>
      </w:rPr>
      <w:drawing>
        <wp:anchor distT="0" distB="0" distL="114300" distR="114300" simplePos="0" relativeHeight="251657728" behindDoc="0" locked="0" layoutInCell="1" allowOverlap="1" wp14:anchorId="13B8735D" wp14:editId="6F742285">
          <wp:simplePos x="0" y="0"/>
          <wp:positionH relativeFrom="column">
            <wp:posOffset>4721860</wp:posOffset>
          </wp:positionH>
          <wp:positionV relativeFrom="paragraph">
            <wp:posOffset>-1905</wp:posOffset>
          </wp:positionV>
          <wp:extent cx="1266825" cy="961390"/>
          <wp:effectExtent l="0" t="0" r="0" b="0"/>
          <wp:wrapNone/>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961390"/>
                  </a:xfrm>
                  <a:prstGeom prst="rect">
                    <a:avLst/>
                  </a:prstGeom>
                  <a:noFill/>
                </pic:spPr>
              </pic:pic>
            </a:graphicData>
          </a:graphic>
          <wp14:sizeRelH relativeFrom="page">
            <wp14:pctWidth>0</wp14:pctWidth>
          </wp14:sizeRelH>
          <wp14:sizeRelV relativeFrom="page">
            <wp14:pctHeight>0</wp14:pctHeight>
          </wp14:sizeRelV>
        </wp:anchor>
      </w:drawing>
    </w:r>
  </w:p>
  <w:p w14:paraId="05BC7717" w14:textId="77777777" w:rsidR="00BB2D95" w:rsidRDefault="00BB2D95" w:rsidP="00114615">
    <w:pPr>
      <w:pStyle w:val="Piedepgina"/>
    </w:pPr>
  </w:p>
  <w:p w14:paraId="2A315A3D" w14:textId="77777777" w:rsidR="00BB2D95" w:rsidRDefault="00BB2D95" w:rsidP="00114615">
    <w:pPr>
      <w:pStyle w:val="Piedepgina"/>
    </w:pPr>
  </w:p>
  <w:p w14:paraId="425FA86E" w14:textId="77777777" w:rsidR="00BB2D95" w:rsidRPr="0079043C" w:rsidRDefault="00BB2D95" w:rsidP="00114615">
    <w:pPr>
      <w:pStyle w:val="Piedepgina"/>
      <w:rPr>
        <w:sz w:val="14"/>
        <w:szCs w:val="14"/>
      </w:rPr>
    </w:pPr>
  </w:p>
  <w:tbl>
    <w:tblPr>
      <w:tblW w:w="6379" w:type="dxa"/>
      <w:tblInd w:w="1069" w:type="dxa"/>
      <w:tblLayout w:type="fixed"/>
      <w:tblLook w:val="04A0" w:firstRow="1" w:lastRow="0" w:firstColumn="1" w:lastColumn="0" w:noHBand="0" w:noVBand="1"/>
    </w:tblPr>
    <w:tblGrid>
      <w:gridCol w:w="426"/>
      <w:gridCol w:w="1162"/>
      <w:gridCol w:w="426"/>
      <w:gridCol w:w="850"/>
      <w:gridCol w:w="425"/>
      <w:gridCol w:w="709"/>
      <w:gridCol w:w="425"/>
      <w:gridCol w:w="1956"/>
    </w:tblGrid>
    <w:tr w:rsidR="00905BE0" w:rsidRPr="00735E27" w14:paraId="72F7CE2D" w14:textId="77777777" w:rsidTr="00905BE0">
      <w:tc>
        <w:tcPr>
          <w:tcW w:w="426" w:type="dxa"/>
          <w:shd w:val="clear" w:color="auto" w:fill="auto"/>
          <w:noWrap/>
          <w:vAlign w:val="center"/>
        </w:tcPr>
        <w:p w14:paraId="6ACD6EBB" w14:textId="0B675966" w:rsidR="00905BE0" w:rsidRPr="00735E27" w:rsidRDefault="00905BE0" w:rsidP="00735E27">
          <w:pPr>
            <w:pStyle w:val="Piedepgina"/>
            <w:ind w:left="-108"/>
            <w:rPr>
              <w:sz w:val="14"/>
              <w:szCs w:val="14"/>
              <w:lang w:val="uz-Cyrl-UZ"/>
            </w:rPr>
          </w:pPr>
          <w:r>
            <w:rPr>
              <w:noProof/>
              <w:sz w:val="14"/>
              <w:szCs w:val="14"/>
            </w:rPr>
            <w:drawing>
              <wp:inline distT="0" distB="0" distL="0" distR="0" wp14:anchorId="262E6AF0" wp14:editId="13E8C8F9">
                <wp:extent cx="197485" cy="197485"/>
                <wp:effectExtent l="0" t="0" r="0" b="0"/>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p>
      </w:tc>
      <w:tc>
        <w:tcPr>
          <w:tcW w:w="1162" w:type="dxa"/>
          <w:shd w:val="clear" w:color="auto" w:fill="auto"/>
          <w:vAlign w:val="center"/>
        </w:tcPr>
        <w:p w14:paraId="661DF5EA" w14:textId="06671A95" w:rsidR="00905BE0" w:rsidRPr="00A71567" w:rsidRDefault="00905BE0" w:rsidP="00735E27">
          <w:pPr>
            <w:pStyle w:val="Piedepgina"/>
            <w:ind w:left="-108"/>
            <w:rPr>
              <w:sz w:val="14"/>
              <w:szCs w:val="14"/>
            </w:rPr>
          </w:pPr>
          <w:r>
            <w:rPr>
              <w:sz w:val="14"/>
              <w:szCs w:val="14"/>
            </w:rPr>
            <w:t>Saludandalucia</w:t>
          </w:r>
        </w:p>
      </w:tc>
      <w:tc>
        <w:tcPr>
          <w:tcW w:w="426" w:type="dxa"/>
          <w:shd w:val="clear" w:color="auto" w:fill="auto"/>
          <w:vAlign w:val="center"/>
        </w:tcPr>
        <w:p w14:paraId="2670071F" w14:textId="5BE5BBB0" w:rsidR="00905BE0" w:rsidRPr="00735E27" w:rsidRDefault="00905BE0" w:rsidP="00735E27">
          <w:pPr>
            <w:pStyle w:val="Piedepgina"/>
            <w:ind w:left="-108"/>
            <w:rPr>
              <w:sz w:val="14"/>
              <w:szCs w:val="14"/>
              <w:lang w:val="uz-Cyrl-UZ"/>
            </w:rPr>
          </w:pPr>
          <w:r>
            <w:rPr>
              <w:noProof/>
              <w:sz w:val="14"/>
              <w:szCs w:val="14"/>
            </w:rPr>
            <w:drawing>
              <wp:inline distT="0" distB="0" distL="0" distR="0" wp14:anchorId="2F0178BC" wp14:editId="331586EB">
                <wp:extent cx="197485" cy="197485"/>
                <wp:effectExtent l="0" t="0" r="0" b="0"/>
                <wp:docPr id="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p>
      </w:tc>
      <w:tc>
        <w:tcPr>
          <w:tcW w:w="850" w:type="dxa"/>
          <w:shd w:val="clear" w:color="auto" w:fill="auto"/>
          <w:vAlign w:val="center"/>
        </w:tcPr>
        <w:p w14:paraId="32CE066E" w14:textId="48735CC5" w:rsidR="00905BE0" w:rsidRPr="00735E27" w:rsidRDefault="00905BE0" w:rsidP="00735E27">
          <w:pPr>
            <w:pStyle w:val="Piedepgina"/>
            <w:ind w:left="-108"/>
            <w:rPr>
              <w:sz w:val="14"/>
              <w:szCs w:val="14"/>
              <w:lang w:val="uz-Cyrl-UZ"/>
            </w:rPr>
          </w:pPr>
          <w:r>
            <w:rPr>
              <w:sz w:val="14"/>
              <w:szCs w:val="14"/>
            </w:rPr>
            <w:t>saludand</w:t>
          </w:r>
          <w:r w:rsidRPr="00735E27">
            <w:rPr>
              <w:sz w:val="14"/>
              <w:szCs w:val="14"/>
              <w:lang w:val="uz-Cyrl-UZ"/>
            </w:rPr>
            <w:t> </w:t>
          </w:r>
          <w:r w:rsidRPr="00735E27">
            <w:rPr>
              <w:sz w:val="14"/>
              <w:szCs w:val="14"/>
            </w:rPr>
            <w:t xml:space="preserve">  </w:t>
          </w:r>
        </w:p>
      </w:tc>
      <w:tc>
        <w:tcPr>
          <w:tcW w:w="425" w:type="dxa"/>
          <w:shd w:val="clear" w:color="auto" w:fill="auto"/>
          <w:vAlign w:val="center"/>
        </w:tcPr>
        <w:p w14:paraId="24D97F75" w14:textId="17B35F9B" w:rsidR="00905BE0" w:rsidRPr="00735E27" w:rsidRDefault="00905BE0" w:rsidP="00735E27">
          <w:pPr>
            <w:pStyle w:val="Piedepgina"/>
            <w:ind w:left="-108"/>
            <w:rPr>
              <w:sz w:val="14"/>
              <w:szCs w:val="14"/>
              <w:lang w:val="uz-Cyrl-UZ"/>
            </w:rPr>
          </w:pPr>
          <w:r>
            <w:rPr>
              <w:noProof/>
              <w:sz w:val="14"/>
              <w:szCs w:val="14"/>
            </w:rPr>
            <w:drawing>
              <wp:inline distT="0" distB="0" distL="0" distR="0" wp14:anchorId="5D8D6261" wp14:editId="65981D92">
                <wp:extent cx="197485" cy="19748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p>
      </w:tc>
      <w:tc>
        <w:tcPr>
          <w:tcW w:w="709" w:type="dxa"/>
          <w:shd w:val="clear" w:color="auto" w:fill="auto"/>
          <w:vAlign w:val="center"/>
        </w:tcPr>
        <w:p w14:paraId="46FB68A5" w14:textId="40064A47" w:rsidR="00905BE0" w:rsidRPr="00905BE0" w:rsidRDefault="00905BE0" w:rsidP="00735E27">
          <w:pPr>
            <w:pStyle w:val="Piedepgina"/>
            <w:ind w:left="-108"/>
            <w:rPr>
              <w:sz w:val="14"/>
              <w:szCs w:val="14"/>
            </w:rPr>
          </w:pPr>
          <w:r>
            <w:rPr>
              <w:sz w:val="14"/>
              <w:szCs w:val="14"/>
            </w:rPr>
            <w:t>Saludand</w:t>
          </w:r>
        </w:p>
      </w:tc>
      <w:tc>
        <w:tcPr>
          <w:tcW w:w="425" w:type="dxa"/>
          <w:shd w:val="clear" w:color="auto" w:fill="auto"/>
          <w:vAlign w:val="center"/>
        </w:tcPr>
        <w:p w14:paraId="35EA642C" w14:textId="3CA54032" w:rsidR="00905BE0" w:rsidRPr="00735E27" w:rsidRDefault="00905BE0" w:rsidP="00735E27">
          <w:pPr>
            <w:pStyle w:val="Piedepgina"/>
            <w:ind w:left="-108"/>
            <w:rPr>
              <w:sz w:val="14"/>
              <w:szCs w:val="14"/>
              <w:lang w:val="uz-Cyrl-UZ"/>
            </w:rPr>
          </w:pPr>
          <w:r>
            <w:rPr>
              <w:noProof/>
              <w:sz w:val="14"/>
              <w:szCs w:val="14"/>
            </w:rPr>
            <w:drawing>
              <wp:inline distT="0" distB="0" distL="0" distR="0" wp14:anchorId="147FE331" wp14:editId="1EEB1C31">
                <wp:extent cx="197485" cy="197485"/>
                <wp:effectExtent l="0" t="0" r="0" b="0"/>
                <wp:docPr id="4"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p>
      </w:tc>
      <w:tc>
        <w:tcPr>
          <w:tcW w:w="1956" w:type="dxa"/>
          <w:shd w:val="clear" w:color="auto" w:fill="auto"/>
          <w:vAlign w:val="center"/>
        </w:tcPr>
        <w:p w14:paraId="7C11CAD7" w14:textId="65425EAE" w:rsidR="00905BE0" w:rsidRPr="00905BE0" w:rsidRDefault="00905BE0" w:rsidP="00735E27">
          <w:pPr>
            <w:pStyle w:val="Piedepgina"/>
            <w:ind w:left="-108"/>
            <w:rPr>
              <w:sz w:val="14"/>
              <w:szCs w:val="14"/>
            </w:rPr>
          </w:pPr>
          <w:r>
            <w:rPr>
              <w:sz w:val="14"/>
              <w:szCs w:val="14"/>
            </w:rPr>
            <w:t>ConsejeriadeSaludyFamilias</w:t>
          </w:r>
        </w:p>
      </w:tc>
    </w:tr>
  </w:tbl>
  <w:p w14:paraId="27AD7C93" w14:textId="77777777" w:rsidR="00BB2D95" w:rsidRDefault="00BB2D95" w:rsidP="00556E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88F22" w14:textId="77777777" w:rsidR="006F46E2" w:rsidRDefault="006F46E2" w:rsidP="00693330">
      <w:r>
        <w:separator/>
      </w:r>
    </w:p>
  </w:footnote>
  <w:footnote w:type="continuationSeparator" w:id="0">
    <w:p w14:paraId="66A08C22" w14:textId="77777777" w:rsidR="006F46E2" w:rsidRDefault="006F46E2" w:rsidP="00693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7C45" w14:textId="6B99AF4E" w:rsidR="00906CFC" w:rsidRPr="00063A60" w:rsidRDefault="00BB2D95" w:rsidP="00E75C2F">
    <w:pPr>
      <w:tabs>
        <w:tab w:val="right" w:pos="8498"/>
      </w:tabs>
      <w:jc w:val="right"/>
      <w:rPr>
        <w:rFonts w:cs="Arial"/>
        <w:b/>
        <w:bCs/>
        <w:sz w:val="16"/>
        <w:szCs w:val="16"/>
      </w:rPr>
    </w:pPr>
    <w:r w:rsidRPr="00063A60">
      <w:rPr>
        <w:rFonts w:cs="Arial"/>
        <w:b/>
        <w:bCs/>
        <w:sz w:val="36"/>
        <w:szCs w:val="36"/>
      </w:rPr>
      <w:t>Nota de prensa</w:t>
    </w:r>
    <w:r w:rsidRPr="00063A60">
      <w:rPr>
        <w:rFonts w:cs="Arial"/>
        <w:b/>
        <w:bCs/>
        <w:sz w:val="36"/>
        <w:szCs w:val="36"/>
      </w:rPr>
      <w:tab/>
    </w:r>
    <w:r w:rsidR="00381271">
      <w:rPr>
        <w:rFonts w:cs="Arial"/>
        <w:b/>
        <w:bCs/>
        <w:sz w:val="16"/>
        <w:szCs w:val="16"/>
      </w:rPr>
      <w:t>Consejería de</w:t>
    </w:r>
    <w:r w:rsidR="000B2937">
      <w:rPr>
        <w:rFonts w:cs="Arial"/>
        <w:b/>
        <w:bCs/>
        <w:sz w:val="16"/>
        <w:szCs w:val="16"/>
      </w:rPr>
      <w:t xml:space="preserve"> </w:t>
    </w:r>
    <w:r w:rsidR="008747BB">
      <w:rPr>
        <w:rFonts w:cs="Arial"/>
        <w:b/>
        <w:bCs/>
        <w:sz w:val="16"/>
        <w:szCs w:val="16"/>
      </w:rPr>
      <w:t>Salud y Familias</w:t>
    </w:r>
  </w:p>
  <w:p w14:paraId="40DC68E9" w14:textId="61226D27" w:rsidR="00BB2D95" w:rsidRDefault="00BF4D49" w:rsidP="00114615">
    <w:pPr>
      <w:pStyle w:val="Encabezado-2"/>
    </w:pPr>
    <w:r>
      <w:t>Fundación Progreso y Salud</w:t>
    </w:r>
  </w:p>
  <w:p w14:paraId="62B19792" w14:textId="77777777" w:rsidR="00BB2D95" w:rsidRDefault="00BB2D95" w:rsidP="00693330">
    <w:pPr>
      <w:tabs>
        <w:tab w:val="right" w:pos="8498"/>
      </w:tabs>
      <w:jc w:val="right"/>
      <w:rPr>
        <w:rFonts w:ascii="Verdana" w:hAnsi="Verdana"/>
        <w:sz w:val="16"/>
        <w:szCs w:val="16"/>
      </w:rPr>
    </w:pPr>
  </w:p>
  <w:p w14:paraId="5210AF94" w14:textId="77777777" w:rsidR="00BB2D95" w:rsidRDefault="00BB2D95" w:rsidP="00693330">
    <w:pPr>
      <w:tabs>
        <w:tab w:val="right" w:pos="8498"/>
      </w:tabs>
      <w:jc w:val="right"/>
      <w:rPr>
        <w:rFonts w:ascii="Verdana" w:hAnsi="Verdana"/>
        <w:sz w:val="16"/>
        <w:szCs w:val="16"/>
      </w:rPr>
    </w:pPr>
  </w:p>
  <w:p w14:paraId="652C9E0D" w14:textId="77777777" w:rsidR="00BB2D95" w:rsidRDefault="00BB2D95" w:rsidP="00693330">
    <w:pPr>
      <w:tabs>
        <w:tab w:val="right" w:pos="8498"/>
      </w:tabs>
      <w:jc w:val="right"/>
      <w:rPr>
        <w:rFonts w:ascii="Verdana" w:hAnsi="Verdana"/>
        <w:sz w:val="16"/>
        <w:szCs w:val="16"/>
      </w:rPr>
    </w:pPr>
  </w:p>
  <w:p w14:paraId="7BB83807" w14:textId="77777777" w:rsidR="00BB2D95" w:rsidRPr="00693330" w:rsidRDefault="00BB2D95" w:rsidP="00693330">
    <w:pPr>
      <w:tabs>
        <w:tab w:val="right" w:pos="8498"/>
      </w:tabs>
      <w:jc w:val="right"/>
      <w:rPr>
        <w:rFonts w:ascii="Verdana" w:hAnsi="Verdan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C093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330"/>
    <w:rsid w:val="00023613"/>
    <w:rsid w:val="000277CB"/>
    <w:rsid w:val="00043DA8"/>
    <w:rsid w:val="00053ACF"/>
    <w:rsid w:val="0005463C"/>
    <w:rsid w:val="000573FB"/>
    <w:rsid w:val="00063A60"/>
    <w:rsid w:val="00074656"/>
    <w:rsid w:val="0009311A"/>
    <w:rsid w:val="000951D8"/>
    <w:rsid w:val="000B2937"/>
    <w:rsid w:val="000E4A8F"/>
    <w:rsid w:val="00114615"/>
    <w:rsid w:val="00114C78"/>
    <w:rsid w:val="00125A90"/>
    <w:rsid w:val="0015706A"/>
    <w:rsid w:val="00164431"/>
    <w:rsid w:val="00194995"/>
    <w:rsid w:val="001A2394"/>
    <w:rsid w:val="001B2F3C"/>
    <w:rsid w:val="001E3A97"/>
    <w:rsid w:val="002167D9"/>
    <w:rsid w:val="00232B61"/>
    <w:rsid w:val="002407DD"/>
    <w:rsid w:val="002C7E00"/>
    <w:rsid w:val="002F2947"/>
    <w:rsid w:val="003466AC"/>
    <w:rsid w:val="00354374"/>
    <w:rsid w:val="00363E04"/>
    <w:rsid w:val="00381271"/>
    <w:rsid w:val="0039455C"/>
    <w:rsid w:val="003A0709"/>
    <w:rsid w:val="003B528B"/>
    <w:rsid w:val="003D0EB3"/>
    <w:rsid w:val="004528D7"/>
    <w:rsid w:val="004545DF"/>
    <w:rsid w:val="00471FC5"/>
    <w:rsid w:val="00474D1F"/>
    <w:rsid w:val="004806FC"/>
    <w:rsid w:val="004D39C3"/>
    <w:rsid w:val="00503485"/>
    <w:rsid w:val="00525419"/>
    <w:rsid w:val="00544E12"/>
    <w:rsid w:val="00556E53"/>
    <w:rsid w:val="00564635"/>
    <w:rsid w:val="0067132E"/>
    <w:rsid w:val="006906D3"/>
    <w:rsid w:val="00693330"/>
    <w:rsid w:val="006A4ED4"/>
    <w:rsid w:val="006A7C5F"/>
    <w:rsid w:val="006B5524"/>
    <w:rsid w:val="006F46E2"/>
    <w:rsid w:val="006F5817"/>
    <w:rsid w:val="007126D5"/>
    <w:rsid w:val="00735E27"/>
    <w:rsid w:val="00777DD5"/>
    <w:rsid w:val="00785E71"/>
    <w:rsid w:val="0079043C"/>
    <w:rsid w:val="00795ABD"/>
    <w:rsid w:val="00796893"/>
    <w:rsid w:val="00796EAA"/>
    <w:rsid w:val="007A4BD1"/>
    <w:rsid w:val="007B4C93"/>
    <w:rsid w:val="007D7258"/>
    <w:rsid w:val="007E1B4D"/>
    <w:rsid w:val="00802A7F"/>
    <w:rsid w:val="00830CBC"/>
    <w:rsid w:val="00833CE0"/>
    <w:rsid w:val="00847109"/>
    <w:rsid w:val="00851344"/>
    <w:rsid w:val="008747BB"/>
    <w:rsid w:val="008772FF"/>
    <w:rsid w:val="008B373A"/>
    <w:rsid w:val="008D1B31"/>
    <w:rsid w:val="008E268E"/>
    <w:rsid w:val="00905BE0"/>
    <w:rsid w:val="00906CFC"/>
    <w:rsid w:val="00962F6A"/>
    <w:rsid w:val="00987A84"/>
    <w:rsid w:val="009A05DA"/>
    <w:rsid w:val="009A6137"/>
    <w:rsid w:val="00A15E01"/>
    <w:rsid w:val="00A42AB1"/>
    <w:rsid w:val="00A4762B"/>
    <w:rsid w:val="00A71567"/>
    <w:rsid w:val="00A92D26"/>
    <w:rsid w:val="00B208B1"/>
    <w:rsid w:val="00B30B56"/>
    <w:rsid w:val="00B433B9"/>
    <w:rsid w:val="00B83A06"/>
    <w:rsid w:val="00BB00BF"/>
    <w:rsid w:val="00BB2D95"/>
    <w:rsid w:val="00BB55DE"/>
    <w:rsid w:val="00BC11C8"/>
    <w:rsid w:val="00BF4D49"/>
    <w:rsid w:val="00C06036"/>
    <w:rsid w:val="00C3521D"/>
    <w:rsid w:val="00C66D01"/>
    <w:rsid w:val="00C71BDD"/>
    <w:rsid w:val="00CC2864"/>
    <w:rsid w:val="00CD4645"/>
    <w:rsid w:val="00D213C5"/>
    <w:rsid w:val="00D413D9"/>
    <w:rsid w:val="00D61B31"/>
    <w:rsid w:val="00DA520F"/>
    <w:rsid w:val="00DB2658"/>
    <w:rsid w:val="00E20FA2"/>
    <w:rsid w:val="00E561D6"/>
    <w:rsid w:val="00E63508"/>
    <w:rsid w:val="00E75C2F"/>
    <w:rsid w:val="00EB1F07"/>
    <w:rsid w:val="00EC54CC"/>
    <w:rsid w:val="00EF2F6B"/>
    <w:rsid w:val="00F101FD"/>
    <w:rsid w:val="00F31D2C"/>
    <w:rsid w:val="00F55FFB"/>
    <w:rsid w:val="00FB1E21"/>
    <w:rsid w:val="00FC46B5"/>
    <w:rsid w:val="00FC4AFC"/>
    <w:rsid w:val="00FE08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02B80"/>
  <w15:chartTrackingRefBased/>
  <w15:docId w15:val="{8EC527B8-5117-4E66-B897-E2285BA3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A60"/>
    <w:rPr>
      <w:rFonts w:ascii="Arial" w:hAnsi="Arial"/>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4615"/>
    <w:pPr>
      <w:tabs>
        <w:tab w:val="center" w:pos="4419"/>
        <w:tab w:val="right" w:pos="8838"/>
      </w:tabs>
    </w:pPr>
  </w:style>
  <w:style w:type="character" w:customStyle="1" w:styleId="EncabezadoCar">
    <w:name w:val="Encabezado Car"/>
    <w:link w:val="Encabezado"/>
    <w:uiPriority w:val="99"/>
    <w:rsid w:val="00114615"/>
    <w:rPr>
      <w:sz w:val="24"/>
      <w:szCs w:val="24"/>
      <w:lang w:eastAsia="en-US"/>
    </w:rPr>
  </w:style>
  <w:style w:type="paragraph" w:styleId="Piedepgina">
    <w:name w:val="footer"/>
    <w:basedOn w:val="Normal"/>
    <w:link w:val="PiedepginaCar"/>
    <w:uiPriority w:val="99"/>
    <w:unhideWhenUsed/>
    <w:rsid w:val="00063A60"/>
    <w:pPr>
      <w:tabs>
        <w:tab w:val="center" w:pos="4419"/>
        <w:tab w:val="right" w:pos="8838"/>
      </w:tabs>
    </w:pPr>
    <w:rPr>
      <w:rFonts w:cs="Arial"/>
      <w:sz w:val="16"/>
      <w:szCs w:val="16"/>
    </w:rPr>
  </w:style>
  <w:style w:type="character" w:customStyle="1" w:styleId="PiedepginaCar">
    <w:name w:val="Pie de página Car"/>
    <w:link w:val="Piedepgina"/>
    <w:uiPriority w:val="99"/>
    <w:rsid w:val="00063A60"/>
    <w:rPr>
      <w:rFonts w:ascii="Arial" w:hAnsi="Arial" w:cs="Arial"/>
      <w:sz w:val="16"/>
      <w:szCs w:val="16"/>
      <w:lang w:eastAsia="en-US"/>
    </w:rPr>
  </w:style>
  <w:style w:type="paragraph" w:customStyle="1" w:styleId="Encabezado-1">
    <w:name w:val="Encabezado-1"/>
    <w:basedOn w:val="Normal"/>
    <w:qFormat/>
    <w:rsid w:val="00114615"/>
    <w:pPr>
      <w:tabs>
        <w:tab w:val="center" w:pos="4419"/>
        <w:tab w:val="right" w:pos="8838"/>
      </w:tabs>
    </w:pPr>
    <w:rPr>
      <w:rFonts w:ascii="Verdana" w:hAnsi="Verdana"/>
      <w:b/>
      <w:bCs/>
      <w:sz w:val="36"/>
      <w:szCs w:val="36"/>
    </w:rPr>
  </w:style>
  <w:style w:type="paragraph" w:customStyle="1" w:styleId="Encabezado-2">
    <w:name w:val="Encabezado-2"/>
    <w:basedOn w:val="Normal"/>
    <w:qFormat/>
    <w:rsid w:val="00063A60"/>
    <w:pPr>
      <w:tabs>
        <w:tab w:val="right" w:pos="8498"/>
      </w:tabs>
      <w:jc w:val="right"/>
    </w:pPr>
    <w:rPr>
      <w:sz w:val="16"/>
      <w:szCs w:val="16"/>
    </w:rPr>
  </w:style>
  <w:style w:type="paragraph" w:customStyle="1" w:styleId="EstilodeFecha">
    <w:name w:val="Estilo de Fecha"/>
    <w:basedOn w:val="Normal"/>
    <w:qFormat/>
    <w:rsid w:val="00063A60"/>
    <w:pPr>
      <w:spacing w:before="240" w:after="240" w:line="480" w:lineRule="auto"/>
    </w:pPr>
    <w:rPr>
      <w:sz w:val="16"/>
      <w:szCs w:val="16"/>
    </w:rPr>
  </w:style>
  <w:style w:type="paragraph" w:customStyle="1" w:styleId="Ttulodelanotadeprensa">
    <w:name w:val="Título de la nota de prensa"/>
    <w:basedOn w:val="Normal"/>
    <w:qFormat/>
    <w:rsid w:val="0079043C"/>
    <w:pPr>
      <w:spacing w:before="240" w:after="240"/>
    </w:pPr>
    <w:rPr>
      <w:b/>
      <w:bCs/>
      <w:sz w:val="36"/>
      <w:szCs w:val="48"/>
    </w:rPr>
  </w:style>
  <w:style w:type="paragraph" w:customStyle="1" w:styleId="Entradillanotadeprensa">
    <w:name w:val="Entradilla nota de prensa"/>
    <w:basedOn w:val="Ttulodelanotadeprensa"/>
    <w:qFormat/>
    <w:rsid w:val="00795ABD"/>
    <w:rPr>
      <w:b w:val="0"/>
      <w:bCs w:val="0"/>
      <w:color w:val="42903F"/>
      <w:sz w:val="28"/>
      <w:szCs w:val="28"/>
    </w:rPr>
  </w:style>
  <w:style w:type="paragraph" w:customStyle="1" w:styleId="Cuerpodetextonotadeprensa">
    <w:name w:val="Cuerpo de texto nota de prensa"/>
    <w:basedOn w:val="Ttulodelanotadeprensa"/>
    <w:qFormat/>
    <w:rsid w:val="00795ABD"/>
    <w:rPr>
      <w:b w:val="0"/>
      <w:bCs w:val="0"/>
      <w:sz w:val="18"/>
      <w:szCs w:val="18"/>
    </w:rPr>
  </w:style>
  <w:style w:type="table" w:styleId="Tablaconcuadrcula">
    <w:name w:val="Table Grid"/>
    <w:basedOn w:val="Tablanormal"/>
    <w:uiPriority w:val="39"/>
    <w:rsid w:val="00556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43DA8"/>
    <w:rPr>
      <w:sz w:val="16"/>
      <w:szCs w:val="16"/>
    </w:rPr>
  </w:style>
  <w:style w:type="paragraph" w:styleId="Textocomentario">
    <w:name w:val="annotation text"/>
    <w:basedOn w:val="Normal"/>
    <w:link w:val="TextocomentarioCar"/>
    <w:uiPriority w:val="99"/>
    <w:semiHidden/>
    <w:unhideWhenUsed/>
    <w:rsid w:val="00043DA8"/>
    <w:rPr>
      <w:sz w:val="20"/>
      <w:szCs w:val="20"/>
    </w:rPr>
  </w:style>
  <w:style w:type="character" w:customStyle="1" w:styleId="TextocomentarioCar">
    <w:name w:val="Texto comentario Car"/>
    <w:basedOn w:val="Fuentedeprrafopredeter"/>
    <w:link w:val="Textocomentario"/>
    <w:uiPriority w:val="99"/>
    <w:semiHidden/>
    <w:rsid w:val="00043DA8"/>
    <w:rPr>
      <w:rFonts w:ascii="Arial" w:hAnsi="Arial"/>
      <w:lang w:eastAsia="en-US"/>
    </w:rPr>
  </w:style>
  <w:style w:type="paragraph" w:styleId="Asuntodelcomentario">
    <w:name w:val="annotation subject"/>
    <w:basedOn w:val="Textocomentario"/>
    <w:next w:val="Textocomentario"/>
    <w:link w:val="AsuntodelcomentarioCar"/>
    <w:uiPriority w:val="99"/>
    <w:semiHidden/>
    <w:unhideWhenUsed/>
    <w:rsid w:val="00043DA8"/>
    <w:rPr>
      <w:b/>
      <w:bCs/>
    </w:rPr>
  </w:style>
  <w:style w:type="character" w:customStyle="1" w:styleId="AsuntodelcomentarioCar">
    <w:name w:val="Asunto del comentario Car"/>
    <w:basedOn w:val="TextocomentarioCar"/>
    <w:link w:val="Asuntodelcomentario"/>
    <w:uiPriority w:val="99"/>
    <w:semiHidden/>
    <w:rsid w:val="00043DA8"/>
    <w:rPr>
      <w:rFonts w:ascii="Arial" w:hAnsi="Arial"/>
      <w:b/>
      <w:bCs/>
      <w:lang w:eastAsia="en-US"/>
    </w:rPr>
  </w:style>
  <w:style w:type="paragraph" w:styleId="Textodeglobo">
    <w:name w:val="Balloon Text"/>
    <w:basedOn w:val="Normal"/>
    <w:link w:val="TextodegloboCar"/>
    <w:uiPriority w:val="99"/>
    <w:semiHidden/>
    <w:unhideWhenUsed/>
    <w:rsid w:val="00043DA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DA8"/>
    <w:rPr>
      <w:rFonts w:ascii="Segoe UI" w:hAnsi="Segoe UI" w:cs="Segoe UI"/>
      <w:sz w:val="18"/>
      <w:szCs w:val="18"/>
      <w:lang w:eastAsia="en-US"/>
    </w:rPr>
  </w:style>
  <w:style w:type="character" w:styleId="Hipervnculo">
    <w:name w:val="Hyperlink"/>
    <w:basedOn w:val="Fuentedeprrafopredeter"/>
    <w:uiPriority w:val="99"/>
    <w:unhideWhenUsed/>
    <w:rsid w:val="00D413D9"/>
    <w:rPr>
      <w:color w:val="0563C1" w:themeColor="hyperlink"/>
      <w:u w:val="single"/>
    </w:rPr>
  </w:style>
  <w:style w:type="character" w:styleId="Mencinsinresolver">
    <w:name w:val="Unresolved Mention"/>
    <w:basedOn w:val="Fuentedeprrafopredeter"/>
    <w:uiPriority w:val="99"/>
    <w:semiHidden/>
    <w:unhideWhenUsed/>
    <w:rsid w:val="00D41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2447">
      <w:bodyDiv w:val="1"/>
      <w:marLeft w:val="0"/>
      <w:marRight w:val="0"/>
      <w:marTop w:val="0"/>
      <w:marBottom w:val="0"/>
      <w:divBdr>
        <w:top w:val="none" w:sz="0" w:space="0" w:color="auto"/>
        <w:left w:val="none" w:sz="0" w:space="0" w:color="auto"/>
        <w:bottom w:val="none" w:sz="0" w:space="0" w:color="auto"/>
        <w:right w:val="none" w:sz="0" w:space="0" w:color="auto"/>
      </w:divBdr>
    </w:div>
    <w:div w:id="517623705">
      <w:bodyDiv w:val="1"/>
      <w:marLeft w:val="0"/>
      <w:marRight w:val="0"/>
      <w:marTop w:val="0"/>
      <w:marBottom w:val="0"/>
      <w:divBdr>
        <w:top w:val="none" w:sz="0" w:space="0" w:color="auto"/>
        <w:left w:val="none" w:sz="0" w:space="0" w:color="auto"/>
        <w:bottom w:val="none" w:sz="0" w:space="0" w:color="auto"/>
        <w:right w:val="none" w:sz="0" w:space="0" w:color="auto"/>
      </w:divBdr>
    </w:div>
    <w:div w:id="1356998598">
      <w:bodyDiv w:val="1"/>
      <w:marLeft w:val="0"/>
      <w:marRight w:val="0"/>
      <w:marTop w:val="0"/>
      <w:marBottom w:val="0"/>
      <w:divBdr>
        <w:top w:val="none" w:sz="0" w:space="0" w:color="auto"/>
        <w:left w:val="none" w:sz="0" w:space="0" w:color="auto"/>
        <w:bottom w:val="none" w:sz="0" w:space="0" w:color="auto"/>
        <w:right w:val="none" w:sz="0" w:space="0" w:color="auto"/>
      </w:divBdr>
    </w:div>
    <w:div w:id="182716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21AF1FCD30AAD4F9B1BB9A6FCAC7AE5" ma:contentTypeVersion="7" ma:contentTypeDescription="Crear nuevo documento." ma:contentTypeScope="" ma:versionID="af2c83f0e96918449757af0fec6a16ab">
  <xsd:schema xmlns:xsd="http://www.w3.org/2001/XMLSchema" xmlns:xs="http://www.w3.org/2001/XMLSchema" xmlns:p="http://schemas.microsoft.com/office/2006/metadata/properties" xmlns:ns3="202b4976-602d-4e7e-8d5c-54e2315162a6" targetNamespace="http://schemas.microsoft.com/office/2006/metadata/properties" ma:root="true" ma:fieldsID="8d939fe05e196947c89c5ac4b5ef1dcc" ns3:_="">
    <xsd:import namespace="202b4976-602d-4e7e-8d5c-54e2315162a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4976-602d-4e7e-8d5c-54e231516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2876BD-8C40-4D37-8CF2-45428849C207}">
  <ds:schemaRefs>
    <ds:schemaRef ds:uri="http://schemas.openxmlformats.org/officeDocument/2006/bibliography"/>
  </ds:schemaRefs>
</ds:datastoreItem>
</file>

<file path=customXml/itemProps2.xml><?xml version="1.0" encoding="utf-8"?>
<ds:datastoreItem xmlns:ds="http://schemas.openxmlformats.org/officeDocument/2006/customXml" ds:itemID="{0ABF31C4-9B07-4BFE-AAA9-B6B742F612D4}">
  <ds:schemaRefs>
    <ds:schemaRef ds:uri="http://schemas.microsoft.com/sharepoint/v3/contenttype/forms"/>
  </ds:schemaRefs>
</ds:datastoreItem>
</file>

<file path=customXml/itemProps3.xml><?xml version="1.0" encoding="utf-8"?>
<ds:datastoreItem xmlns:ds="http://schemas.openxmlformats.org/officeDocument/2006/customXml" ds:itemID="{12375636-74F9-4273-864E-F71A262E3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4976-602d-4e7e-8d5c-54e231516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A1E922-ED28-4872-A2F4-6CDD2DE656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389</Words>
  <Characters>2145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Antonio Cejas Rubio</cp:lastModifiedBy>
  <cp:revision>11</cp:revision>
  <cp:lastPrinted>2021-05-27T14:32:00Z</cp:lastPrinted>
  <dcterms:created xsi:type="dcterms:W3CDTF">2022-02-21T10:44:00Z</dcterms:created>
  <dcterms:modified xsi:type="dcterms:W3CDTF">2022-03-02T09:55:00Z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0x010100121AF1FCD30AAD4F9B1BB9A6FCAC7AE5</vt:lpwstr>
  </property>
</Properties>
</file>